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03" w:rsidRDefault="00550903"/>
    <w:p w:rsidR="00550903" w:rsidRDefault="00550903"/>
    <w:p w:rsidR="00550903" w:rsidRPr="00550903" w:rsidRDefault="00550903" w:rsidP="00550903">
      <w:pPr>
        <w:jc w:val="center"/>
        <w:rPr>
          <w:b/>
          <w:sz w:val="32"/>
          <w:szCs w:val="32"/>
        </w:rPr>
      </w:pPr>
      <w:r w:rsidRPr="00550903">
        <w:rPr>
          <w:b/>
          <w:sz w:val="32"/>
          <w:szCs w:val="32"/>
        </w:rPr>
        <w:t>Структура и объём затрат на производство электрической энергии</w:t>
      </w:r>
    </w:p>
    <w:p w:rsidR="00550903" w:rsidRPr="00550903" w:rsidRDefault="00550903" w:rsidP="00550903">
      <w:pPr>
        <w:jc w:val="center"/>
        <w:rPr>
          <w:b/>
          <w:sz w:val="32"/>
          <w:szCs w:val="32"/>
        </w:rPr>
      </w:pPr>
      <w:r w:rsidRPr="00550903">
        <w:rPr>
          <w:b/>
          <w:sz w:val="32"/>
          <w:szCs w:val="32"/>
        </w:rPr>
        <w:t>в 2015 году</w:t>
      </w:r>
    </w:p>
    <w:p w:rsidR="00550903" w:rsidRPr="00550903" w:rsidRDefault="00550903" w:rsidP="00550903">
      <w:pPr>
        <w:jc w:val="center"/>
        <w:rPr>
          <w:b/>
          <w:sz w:val="32"/>
          <w:szCs w:val="32"/>
        </w:rPr>
      </w:pPr>
      <w:r w:rsidRPr="00550903">
        <w:rPr>
          <w:b/>
          <w:sz w:val="32"/>
          <w:szCs w:val="32"/>
        </w:rPr>
        <w:t>ООО «Поморские электросети»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6896"/>
        <w:gridCol w:w="1099"/>
      </w:tblGrid>
      <w:tr w:rsidR="00550903" w:rsidRPr="00550903" w:rsidTr="00550903">
        <w:trPr>
          <w:trHeight w:val="269"/>
        </w:trPr>
        <w:tc>
          <w:tcPr>
            <w:tcW w:w="442" w:type="dxa"/>
            <w:vMerge w:val="restart"/>
            <w:vAlign w:val="center"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№</w:t>
            </w:r>
          </w:p>
        </w:tc>
        <w:tc>
          <w:tcPr>
            <w:tcW w:w="6896" w:type="dxa"/>
            <w:vMerge w:val="restart"/>
            <w:vAlign w:val="center"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Показатели</w:t>
            </w:r>
            <w:bookmarkStart w:id="0" w:name="_GoBack"/>
            <w:bookmarkEnd w:id="0"/>
          </w:p>
        </w:tc>
        <w:tc>
          <w:tcPr>
            <w:tcW w:w="1099" w:type="dxa"/>
            <w:vMerge w:val="restart"/>
            <w:vAlign w:val="center"/>
            <w:hideMark/>
          </w:tcPr>
          <w:p w:rsidR="00550903" w:rsidRPr="00550903" w:rsidRDefault="00550903" w:rsidP="00550903">
            <w:pPr>
              <w:jc w:val="center"/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Объём затрат, тыс. руб.</w:t>
            </w:r>
          </w:p>
        </w:tc>
      </w:tr>
      <w:tr w:rsidR="00550903" w:rsidRPr="00550903" w:rsidTr="00550903">
        <w:trPr>
          <w:trHeight w:val="269"/>
        </w:trPr>
        <w:tc>
          <w:tcPr>
            <w:tcW w:w="442" w:type="dxa"/>
            <w:vMerge/>
            <w:hideMark/>
          </w:tcPr>
          <w:p w:rsidR="00550903" w:rsidRPr="00550903" w:rsidRDefault="00550903"/>
        </w:tc>
        <w:tc>
          <w:tcPr>
            <w:tcW w:w="6896" w:type="dxa"/>
            <w:vMerge/>
            <w:hideMark/>
          </w:tcPr>
          <w:p w:rsidR="00550903" w:rsidRPr="00550903" w:rsidRDefault="00550903"/>
        </w:tc>
        <w:tc>
          <w:tcPr>
            <w:tcW w:w="1099" w:type="dxa"/>
            <w:vMerge/>
            <w:hideMark/>
          </w:tcPr>
          <w:p w:rsidR="00550903" w:rsidRPr="00550903" w:rsidRDefault="00550903"/>
        </w:tc>
      </w:tr>
      <w:tr w:rsidR="00550903" w:rsidRPr="00550903" w:rsidTr="00550903">
        <w:trPr>
          <w:trHeight w:val="269"/>
        </w:trPr>
        <w:tc>
          <w:tcPr>
            <w:tcW w:w="442" w:type="dxa"/>
            <w:vMerge/>
            <w:hideMark/>
          </w:tcPr>
          <w:p w:rsidR="00550903" w:rsidRPr="00550903" w:rsidRDefault="00550903"/>
        </w:tc>
        <w:tc>
          <w:tcPr>
            <w:tcW w:w="6896" w:type="dxa"/>
            <w:vMerge/>
            <w:hideMark/>
          </w:tcPr>
          <w:p w:rsidR="00550903" w:rsidRPr="00550903" w:rsidRDefault="00550903"/>
        </w:tc>
        <w:tc>
          <w:tcPr>
            <w:tcW w:w="1099" w:type="dxa"/>
            <w:vMerge/>
            <w:hideMark/>
          </w:tcPr>
          <w:p w:rsidR="00550903" w:rsidRPr="00550903" w:rsidRDefault="00550903"/>
        </w:tc>
      </w:tr>
      <w:tr w:rsidR="00550903" w:rsidRPr="00550903" w:rsidTr="00550903">
        <w:trPr>
          <w:trHeight w:val="285"/>
        </w:trPr>
        <w:tc>
          <w:tcPr>
            <w:tcW w:w="442" w:type="dxa"/>
            <w:vMerge/>
            <w:hideMark/>
          </w:tcPr>
          <w:p w:rsidR="00550903" w:rsidRPr="00550903" w:rsidRDefault="00550903"/>
        </w:tc>
        <w:tc>
          <w:tcPr>
            <w:tcW w:w="6896" w:type="dxa"/>
            <w:vMerge/>
            <w:hideMark/>
          </w:tcPr>
          <w:p w:rsidR="00550903" w:rsidRPr="00550903" w:rsidRDefault="00550903"/>
        </w:tc>
        <w:tc>
          <w:tcPr>
            <w:tcW w:w="1099" w:type="dxa"/>
            <w:vMerge/>
            <w:hideMark/>
          </w:tcPr>
          <w:p w:rsidR="00550903" w:rsidRPr="00550903" w:rsidRDefault="00550903"/>
        </w:tc>
      </w:tr>
      <w:tr w:rsidR="00550903" w:rsidRPr="00550903" w:rsidTr="00550903">
        <w:trPr>
          <w:trHeight w:val="285"/>
        </w:trPr>
        <w:tc>
          <w:tcPr>
            <w:tcW w:w="442" w:type="dxa"/>
            <w:vMerge/>
            <w:hideMark/>
          </w:tcPr>
          <w:p w:rsidR="00550903" w:rsidRPr="00550903" w:rsidRDefault="00550903"/>
        </w:tc>
        <w:tc>
          <w:tcPr>
            <w:tcW w:w="6896" w:type="dxa"/>
            <w:vMerge/>
            <w:hideMark/>
          </w:tcPr>
          <w:p w:rsidR="00550903" w:rsidRPr="00550903" w:rsidRDefault="00550903"/>
        </w:tc>
        <w:tc>
          <w:tcPr>
            <w:tcW w:w="1099" w:type="dxa"/>
            <w:vMerge/>
            <w:hideMark/>
          </w:tcPr>
          <w:p w:rsidR="00550903" w:rsidRPr="00550903" w:rsidRDefault="00550903"/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Топливо на технологические цели с доставкой до берега (склада)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5 631,4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2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Дизельное масло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81,3</w:t>
            </w:r>
          </w:p>
        </w:tc>
      </w:tr>
      <w:tr w:rsidR="00550903" w:rsidRPr="00550903" w:rsidTr="00550903">
        <w:trPr>
          <w:trHeight w:val="270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3</w:t>
            </w:r>
          </w:p>
        </w:tc>
        <w:tc>
          <w:tcPr>
            <w:tcW w:w="6896" w:type="dxa"/>
            <w:hideMark/>
          </w:tcPr>
          <w:p w:rsidR="00550903" w:rsidRPr="00550903" w:rsidRDefault="00550903">
            <w:r w:rsidRPr="00550903">
              <w:t>Транспортные расходы по доставке топлива от склада до ДЭС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82,7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4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Затраты на оплату труда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2 490,4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5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Отчисления на социальные нужды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799,7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6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Больничный лист за счёт работодателя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2,1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7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 xml:space="preserve">Амортизация 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386,8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8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Арендная плата  ДЭС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300,0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9</w:t>
            </w:r>
          </w:p>
        </w:tc>
        <w:tc>
          <w:tcPr>
            <w:tcW w:w="6896" w:type="dxa"/>
            <w:hideMark/>
          </w:tcPr>
          <w:p w:rsidR="00550903" w:rsidRPr="00550903" w:rsidRDefault="00550903">
            <w:r w:rsidRPr="00550903">
              <w:t>Ремонт и техническое обслуживание линий эл. передач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340,8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10</w:t>
            </w:r>
          </w:p>
        </w:tc>
        <w:tc>
          <w:tcPr>
            <w:tcW w:w="6896" w:type="dxa"/>
            <w:hideMark/>
          </w:tcPr>
          <w:p w:rsidR="00550903" w:rsidRPr="00550903" w:rsidRDefault="00550903">
            <w:r w:rsidRPr="00550903">
              <w:t>Ремонт и техническое обслуживание дизельных станций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403,1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11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Цеховые расходы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361,7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12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Прочие расходы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830,6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13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Убытки 2011, 2012 и 2013 годов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1 499,6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14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pPr>
              <w:rPr>
                <w:b/>
                <w:bCs/>
              </w:rPr>
            </w:pPr>
            <w:r w:rsidRPr="00550903">
              <w:rPr>
                <w:b/>
                <w:bCs/>
              </w:rPr>
              <w:t>Итого цеховая себестоимость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</w:rPr>
            </w:pPr>
            <w:r w:rsidRPr="00550903">
              <w:rPr>
                <w:b/>
                <w:bCs/>
              </w:rPr>
              <w:t>13 210,3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15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Общехозяйственные расходы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3 540,4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16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pPr>
              <w:rPr>
                <w:b/>
                <w:bCs/>
              </w:rPr>
            </w:pPr>
            <w:r w:rsidRPr="00550903">
              <w:rPr>
                <w:b/>
                <w:bCs/>
              </w:rPr>
              <w:t>Себестоимость товарного отпуска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</w:rPr>
            </w:pPr>
            <w:r w:rsidRPr="00550903">
              <w:rPr>
                <w:b/>
                <w:bCs/>
              </w:rPr>
              <w:t>16 750,6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 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pPr>
              <w:rPr>
                <w:b/>
                <w:bCs/>
              </w:rPr>
            </w:pPr>
            <w:r w:rsidRPr="00550903">
              <w:rPr>
                <w:b/>
                <w:bCs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</w:rPr>
            </w:pP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17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pPr>
              <w:rPr>
                <w:b/>
                <w:bCs/>
              </w:rPr>
            </w:pPr>
            <w:r w:rsidRPr="00550903">
              <w:rPr>
                <w:b/>
                <w:bCs/>
              </w:rPr>
              <w:t>Отпуск электрической энергии в сеть всего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</w:rPr>
            </w:pPr>
            <w:r w:rsidRPr="00550903">
              <w:rPr>
                <w:b/>
                <w:bCs/>
              </w:rPr>
              <w:t>358,3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18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 xml:space="preserve">в </w:t>
            </w:r>
            <w:proofErr w:type="spellStart"/>
            <w:r w:rsidRPr="00550903">
              <w:t>т.ч</w:t>
            </w:r>
            <w:proofErr w:type="spellEnd"/>
            <w:r w:rsidRPr="00550903">
              <w:t xml:space="preserve">. сторонним потребителям, тыс. </w:t>
            </w:r>
            <w:proofErr w:type="spellStart"/>
            <w:r w:rsidRPr="00550903">
              <w:t>кВтч</w:t>
            </w:r>
            <w:proofErr w:type="spellEnd"/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322,9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 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pPr>
              <w:rPr>
                <w:b/>
                <w:bCs/>
              </w:rPr>
            </w:pPr>
            <w:r w:rsidRPr="00550903">
              <w:rPr>
                <w:b/>
                <w:bCs/>
              </w:rPr>
              <w:t xml:space="preserve">Себестоимость 1 </w:t>
            </w:r>
            <w:proofErr w:type="spellStart"/>
            <w:r w:rsidRPr="00550903">
              <w:rPr>
                <w:b/>
                <w:bCs/>
              </w:rPr>
              <w:t>кВтч</w:t>
            </w:r>
            <w:proofErr w:type="spellEnd"/>
            <w:r w:rsidRPr="00550903">
              <w:rPr>
                <w:b/>
                <w:bCs/>
              </w:rPr>
              <w:t xml:space="preserve">, </w:t>
            </w:r>
            <w:proofErr w:type="spellStart"/>
            <w:r w:rsidRPr="00550903">
              <w:rPr>
                <w:b/>
                <w:bCs/>
              </w:rPr>
              <w:t>руб</w:t>
            </w:r>
            <w:proofErr w:type="spellEnd"/>
            <w:r w:rsidRPr="00550903">
              <w:rPr>
                <w:b/>
                <w:bCs/>
              </w:rPr>
              <w:t>/</w:t>
            </w:r>
            <w:proofErr w:type="spellStart"/>
            <w:r w:rsidRPr="00550903">
              <w:rPr>
                <w:b/>
                <w:bCs/>
              </w:rPr>
              <w:t>кВтч</w:t>
            </w:r>
            <w:proofErr w:type="spellEnd"/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</w:rPr>
            </w:pPr>
            <w:r w:rsidRPr="00550903">
              <w:rPr>
                <w:b/>
                <w:bCs/>
              </w:rPr>
              <w:t>51,88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 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pPr>
              <w:rPr>
                <w:b/>
                <w:bCs/>
              </w:rPr>
            </w:pPr>
            <w:r w:rsidRPr="00550903">
              <w:rPr>
                <w:b/>
                <w:bCs/>
              </w:rPr>
              <w:t>Прибыль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</w:rPr>
            </w:pPr>
            <w:r w:rsidRPr="00550903">
              <w:rPr>
                <w:b/>
                <w:bCs/>
              </w:rPr>
              <w:t>979,8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25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 xml:space="preserve"> Налог на прибыль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</w:pPr>
            <w:r w:rsidRPr="00550903">
              <w:t>196,0</w:t>
            </w:r>
          </w:p>
        </w:tc>
      </w:tr>
      <w:tr w:rsidR="00550903" w:rsidRPr="00550903" w:rsidTr="00550903">
        <w:trPr>
          <w:trHeight w:val="255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26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r w:rsidRPr="00550903">
              <w:t>Стоимость товарного отпуска, всего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</w:rPr>
            </w:pPr>
            <w:r w:rsidRPr="00550903">
              <w:rPr>
                <w:b/>
                <w:bCs/>
              </w:rPr>
              <w:t>17 926,4</w:t>
            </w:r>
          </w:p>
        </w:tc>
      </w:tr>
      <w:tr w:rsidR="00550903" w:rsidRPr="00550903" w:rsidTr="00550903">
        <w:trPr>
          <w:trHeight w:val="360"/>
        </w:trPr>
        <w:tc>
          <w:tcPr>
            <w:tcW w:w="442" w:type="dxa"/>
            <w:noWrap/>
            <w:hideMark/>
          </w:tcPr>
          <w:p w:rsidR="00550903" w:rsidRPr="00550903" w:rsidRDefault="00550903" w:rsidP="00550903">
            <w:r w:rsidRPr="00550903">
              <w:t>27</w:t>
            </w:r>
          </w:p>
        </w:tc>
        <w:tc>
          <w:tcPr>
            <w:tcW w:w="6896" w:type="dxa"/>
            <w:noWrap/>
            <w:hideMark/>
          </w:tcPr>
          <w:p w:rsidR="00550903" w:rsidRPr="00550903" w:rsidRDefault="00550903">
            <w:pPr>
              <w:rPr>
                <w:b/>
                <w:bCs/>
                <w:i/>
                <w:iCs/>
              </w:rPr>
            </w:pPr>
            <w:r w:rsidRPr="00550903">
              <w:rPr>
                <w:b/>
                <w:bCs/>
                <w:i/>
                <w:iCs/>
              </w:rPr>
              <w:t>тариф, руб./</w:t>
            </w:r>
            <w:proofErr w:type="spellStart"/>
            <w:r w:rsidRPr="00550903">
              <w:rPr>
                <w:b/>
                <w:bCs/>
                <w:i/>
                <w:iCs/>
              </w:rPr>
              <w:t>кВтч</w:t>
            </w:r>
            <w:proofErr w:type="spellEnd"/>
            <w:r w:rsidRPr="00550903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099" w:type="dxa"/>
            <w:noWrap/>
            <w:hideMark/>
          </w:tcPr>
          <w:p w:rsidR="00550903" w:rsidRPr="00550903" w:rsidRDefault="00550903" w:rsidP="00550903">
            <w:pPr>
              <w:jc w:val="center"/>
              <w:rPr>
                <w:b/>
                <w:bCs/>
                <w:i/>
                <w:iCs/>
              </w:rPr>
            </w:pPr>
            <w:r w:rsidRPr="00550903">
              <w:rPr>
                <w:b/>
                <w:bCs/>
                <w:i/>
                <w:iCs/>
              </w:rPr>
              <w:t>54,91</w:t>
            </w:r>
          </w:p>
        </w:tc>
      </w:tr>
    </w:tbl>
    <w:p w:rsidR="005F35B2" w:rsidRDefault="005F35B2"/>
    <w:sectPr w:rsidR="005F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03"/>
    <w:rsid w:val="00550903"/>
    <w:rsid w:val="005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2016-05-05T10:30:00Z</dcterms:created>
  <dcterms:modified xsi:type="dcterms:W3CDTF">2016-05-05T10:39:00Z</dcterms:modified>
</cp:coreProperties>
</file>